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C70" w:rsidRDefault="00690C70" w:rsidP="004A0D9A">
      <w:pPr>
        <w:pStyle w:val="Title"/>
        <w:rPr>
          <w:rStyle w:val="IntenseEmphasis"/>
        </w:rPr>
      </w:pPr>
    </w:p>
    <w:p w:rsidR="00690C70" w:rsidRDefault="00690C70" w:rsidP="004A0D9A">
      <w:pPr>
        <w:pStyle w:val="Title"/>
        <w:rPr>
          <w:rStyle w:val="IntenseEmphasis"/>
        </w:rPr>
      </w:pPr>
      <w:r w:rsidRPr="00FF14C1">
        <w:rPr>
          <w:rStyle w:val="IntenseEmphasis"/>
        </w:rPr>
        <w:t>Zpráva ze zahraniční služební cesty</w:t>
      </w:r>
    </w:p>
    <w:p w:rsidR="00690C70" w:rsidRDefault="00690C70" w:rsidP="004A0D9A">
      <w:pPr>
        <w:pStyle w:val="Title"/>
        <w:rPr>
          <w:rStyle w:val="IntenseEmphasis"/>
        </w:rPr>
      </w:pPr>
    </w:p>
    <w:p w:rsidR="00690C70" w:rsidRPr="00FF14C1" w:rsidRDefault="00690C70" w:rsidP="004A0D9A">
      <w:pPr>
        <w:pStyle w:val="Title"/>
        <w:rPr>
          <w:rStyle w:val="IntenseEmphasis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2799"/>
        <w:gridCol w:w="2799"/>
      </w:tblGrid>
      <w:tr w:rsidR="00690C70" w:rsidRPr="004A0D9A">
        <w:tc>
          <w:tcPr>
            <w:tcW w:w="3614" w:type="dxa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Jméno a příjmení účastníka cesty</w:t>
            </w:r>
          </w:p>
        </w:tc>
        <w:tc>
          <w:tcPr>
            <w:tcW w:w="5598" w:type="dxa"/>
            <w:gridSpan w:val="2"/>
          </w:tcPr>
          <w:p w:rsidR="00690C70" w:rsidRPr="00AA3749" w:rsidRDefault="00690C70" w:rsidP="00B92ABF">
            <w:pPr>
              <w:pStyle w:val="Heading1"/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Ing. Tomáš Böhm</w:t>
            </w:r>
          </w:p>
        </w:tc>
      </w:tr>
      <w:tr w:rsidR="00690C70" w:rsidRPr="004A0D9A">
        <w:tc>
          <w:tcPr>
            <w:tcW w:w="3614" w:type="dxa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Pracoviště – dle organizační struktury</w:t>
            </w:r>
          </w:p>
        </w:tc>
        <w:tc>
          <w:tcPr>
            <w:tcW w:w="5598" w:type="dxa"/>
            <w:gridSpan w:val="2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Generální ředitel</w:t>
            </w:r>
          </w:p>
        </w:tc>
      </w:tr>
      <w:tr w:rsidR="00690C70" w:rsidRPr="004A0D9A">
        <w:tc>
          <w:tcPr>
            <w:tcW w:w="3614" w:type="dxa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Pracoviště – zařazení</w:t>
            </w:r>
          </w:p>
        </w:tc>
        <w:tc>
          <w:tcPr>
            <w:tcW w:w="5598" w:type="dxa"/>
            <w:gridSpan w:val="2"/>
          </w:tcPr>
          <w:p w:rsidR="00690C70" w:rsidRPr="00AA3749" w:rsidRDefault="00690C70" w:rsidP="00B92ABF">
            <w:pPr>
              <w:pStyle w:val="Heading1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</w:p>
        </w:tc>
      </w:tr>
      <w:tr w:rsidR="00690C70" w:rsidRPr="004A0D9A">
        <w:tc>
          <w:tcPr>
            <w:tcW w:w="3614" w:type="dxa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Důvod cesty</w:t>
            </w:r>
          </w:p>
        </w:tc>
        <w:tc>
          <w:tcPr>
            <w:tcW w:w="5598" w:type="dxa"/>
            <w:gridSpan w:val="2"/>
          </w:tcPr>
          <w:p w:rsidR="00690C70" w:rsidRPr="00AA3749" w:rsidRDefault="00690C70" w:rsidP="00DC7A8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A3749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Účast na jednání mezinárodního kongresu Knihovna jako kulturní jev </w:t>
            </w:r>
          </w:p>
        </w:tc>
      </w:tr>
      <w:tr w:rsidR="00690C70" w:rsidRPr="004A0D9A">
        <w:tc>
          <w:tcPr>
            <w:tcW w:w="3614" w:type="dxa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Místo – město</w:t>
            </w:r>
          </w:p>
        </w:tc>
        <w:tc>
          <w:tcPr>
            <w:tcW w:w="5598" w:type="dxa"/>
            <w:gridSpan w:val="2"/>
          </w:tcPr>
          <w:p w:rsidR="00690C70" w:rsidRPr="00AA3749" w:rsidRDefault="00690C70" w:rsidP="00B92ABF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A3749">
              <w:rPr>
                <w:rFonts w:ascii="Calibri" w:hAnsi="Calibri" w:cs="Calibri"/>
                <w:b/>
                <w:bCs/>
                <w:sz w:val="22"/>
                <w:szCs w:val="22"/>
              </w:rPr>
              <w:t>Minsk</w:t>
            </w:r>
          </w:p>
        </w:tc>
      </w:tr>
      <w:tr w:rsidR="00690C70" w:rsidRPr="004A0D9A">
        <w:tc>
          <w:tcPr>
            <w:tcW w:w="3614" w:type="dxa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Místo – země</w:t>
            </w:r>
          </w:p>
        </w:tc>
        <w:tc>
          <w:tcPr>
            <w:tcW w:w="5598" w:type="dxa"/>
            <w:gridSpan w:val="2"/>
          </w:tcPr>
          <w:p w:rsidR="00690C70" w:rsidRPr="00AA3749" w:rsidRDefault="00690C70" w:rsidP="00DC7A8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A3749">
              <w:rPr>
                <w:rFonts w:ascii="Calibri" w:hAnsi="Calibri" w:cs="Calibri"/>
                <w:b/>
                <w:bCs/>
                <w:sz w:val="22"/>
                <w:szCs w:val="22"/>
              </w:rPr>
              <w:t>Bělorusko</w:t>
            </w:r>
          </w:p>
        </w:tc>
      </w:tr>
      <w:tr w:rsidR="00690C70" w:rsidRPr="004A0D9A">
        <w:tc>
          <w:tcPr>
            <w:tcW w:w="3614" w:type="dxa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Datum (od-do)</w:t>
            </w:r>
          </w:p>
        </w:tc>
        <w:tc>
          <w:tcPr>
            <w:tcW w:w="5598" w:type="dxa"/>
            <w:gridSpan w:val="2"/>
          </w:tcPr>
          <w:p w:rsidR="00690C70" w:rsidRPr="00AA3749" w:rsidRDefault="00690C70" w:rsidP="00DC7A8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A3749">
              <w:rPr>
                <w:rFonts w:ascii="Calibri" w:hAnsi="Calibri" w:cs="Calibri"/>
                <w:b/>
                <w:bCs/>
                <w:sz w:val="22"/>
                <w:szCs w:val="22"/>
              </w:rPr>
              <w:t>21. – 25. října 2013</w:t>
            </w:r>
          </w:p>
        </w:tc>
      </w:tr>
      <w:tr w:rsidR="00690C70" w:rsidRPr="004A0D9A">
        <w:tc>
          <w:tcPr>
            <w:tcW w:w="3614" w:type="dxa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Podrobný časový harmonogram</w:t>
            </w:r>
          </w:p>
        </w:tc>
        <w:tc>
          <w:tcPr>
            <w:tcW w:w="5598" w:type="dxa"/>
            <w:gridSpan w:val="2"/>
          </w:tcPr>
          <w:p w:rsidR="00690C70" w:rsidRPr="00AA3749" w:rsidRDefault="00690C70" w:rsidP="009E2368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21. října 2013 – přílet do Minsku</w:t>
            </w:r>
          </w:p>
          <w:p w:rsidR="00690C70" w:rsidRPr="00AA3749" w:rsidRDefault="00690C70" w:rsidP="006E04F0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22. října 2013 – návštěva a prohlídka Národní knihovny Běloruska</w:t>
            </w:r>
          </w:p>
          <w:p w:rsidR="00690C70" w:rsidRPr="00AA3749" w:rsidRDefault="00690C70" w:rsidP="002E6F0B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23. – 24. října 2013 – jednání konference</w:t>
            </w:r>
          </w:p>
          <w:p w:rsidR="00690C70" w:rsidRPr="00AA3749" w:rsidRDefault="00690C70" w:rsidP="00DC7A8A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25. října 2013 – odlet do Prahy</w:t>
            </w:r>
          </w:p>
        </w:tc>
      </w:tr>
      <w:tr w:rsidR="00690C70" w:rsidRPr="004A0D9A">
        <w:tc>
          <w:tcPr>
            <w:tcW w:w="3614" w:type="dxa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Spolucestující z NK</w:t>
            </w:r>
          </w:p>
        </w:tc>
        <w:tc>
          <w:tcPr>
            <w:tcW w:w="5598" w:type="dxa"/>
            <w:gridSpan w:val="2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Mgr. Adolf Knoll</w:t>
            </w:r>
          </w:p>
        </w:tc>
      </w:tr>
      <w:tr w:rsidR="00690C70" w:rsidRPr="004A0D9A">
        <w:tc>
          <w:tcPr>
            <w:tcW w:w="3614" w:type="dxa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Finanční zajištění</w:t>
            </w:r>
          </w:p>
        </w:tc>
        <w:tc>
          <w:tcPr>
            <w:tcW w:w="5598" w:type="dxa"/>
            <w:gridSpan w:val="2"/>
          </w:tcPr>
          <w:p w:rsidR="00690C70" w:rsidRPr="00AA3749" w:rsidRDefault="00690C70" w:rsidP="002E6F0B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NK</w:t>
            </w:r>
          </w:p>
        </w:tc>
      </w:tr>
      <w:tr w:rsidR="00690C70" w:rsidRPr="004A0D9A">
        <w:trPr>
          <w:trHeight w:val="318"/>
        </w:trPr>
        <w:tc>
          <w:tcPr>
            <w:tcW w:w="3614" w:type="dxa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Cíle cesty</w:t>
            </w:r>
          </w:p>
        </w:tc>
        <w:tc>
          <w:tcPr>
            <w:tcW w:w="5598" w:type="dxa"/>
            <w:gridSpan w:val="2"/>
          </w:tcPr>
          <w:p w:rsidR="00690C70" w:rsidRPr="00AA3749" w:rsidRDefault="00690C70" w:rsidP="00DC7A8A">
            <w:pPr>
              <w:spacing w:before="100" w:after="100"/>
              <w:ind w:left="36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Účast na mezinárodní konferenci na základě pozvání generálního ředitele Národní knihovny Běloruska a jednání o možné budoucí spolupráci</w:t>
            </w:r>
          </w:p>
        </w:tc>
      </w:tr>
      <w:tr w:rsidR="00690C70" w:rsidRPr="004A0D9A">
        <w:tc>
          <w:tcPr>
            <w:tcW w:w="3614" w:type="dxa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Plnění cílů cesty (konkrétně)</w:t>
            </w:r>
          </w:p>
        </w:tc>
        <w:tc>
          <w:tcPr>
            <w:tcW w:w="5598" w:type="dxa"/>
            <w:gridSpan w:val="2"/>
          </w:tcPr>
          <w:p w:rsidR="00690C70" w:rsidRPr="00AA3749" w:rsidRDefault="00690C70" w:rsidP="00DC7A8A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Během návštěvy NK Běloruska došlo k podrobnému seznámení s její činností a budovou; obě strany si slíbily, že obnoví jednání o dohodě o spolupráci, jelikož ta dřívější již před řadou let byla ukončena. T. č. pojí obě knihovny pouze dohoda o spolupráci na rozvoji digitální knihovny Manuscriptorium, pro kterou je NK Běloruska významným a spolehlivým partnerem již asi 5 let. Na konferenci přednesl generální ředitel NK ČR příspěvek o Národní digitální knihovně.</w:t>
            </w:r>
          </w:p>
          <w:p w:rsidR="00690C70" w:rsidRPr="00AA3749" w:rsidRDefault="00690C70" w:rsidP="00DC7A8A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noProof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5" o:spid="_x0000_i1027" type="#_x0000_t75" style="width:272.25pt;height:204pt;visibility:visible">
                  <v:imagedata r:id="rId7" o:title=""/>
                </v:shape>
              </w:pict>
            </w:r>
          </w:p>
        </w:tc>
      </w:tr>
      <w:tr w:rsidR="00690C70" w:rsidRPr="004A0D9A">
        <w:tc>
          <w:tcPr>
            <w:tcW w:w="3614" w:type="dxa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Program a další podrobnější informace</w:t>
            </w:r>
          </w:p>
        </w:tc>
        <w:tc>
          <w:tcPr>
            <w:tcW w:w="5598" w:type="dxa"/>
            <w:gridSpan w:val="2"/>
          </w:tcPr>
          <w:p w:rsidR="00690C70" w:rsidRPr="00AA3749" w:rsidRDefault="00690C70" w:rsidP="00E67F1D">
            <w:pPr>
              <w:tabs>
                <w:tab w:val="left" w:pos="4192"/>
              </w:tabs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 xml:space="preserve">Program: </w:t>
            </w:r>
            <w:hyperlink r:id="rId8" w:history="1">
              <w:r w:rsidRPr="00AA3749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http://old.nlb.by/fenomen/program_k.doc</w:t>
              </w:r>
            </w:hyperlink>
            <w:r w:rsidRPr="00AA3749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690C70" w:rsidRPr="00AA3749" w:rsidRDefault="00690C70" w:rsidP="00E67F1D">
            <w:pPr>
              <w:tabs>
                <w:tab w:val="left" w:pos="4192"/>
              </w:tabs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Konference se kromě nás zúčastnilo několik dalších významných představitelů evropských i asijských národních knihoven. Přítomna byla veškerá významná běloruská knihovnická veřejnost. Důležitým momentem pro vzájemnou spolupráci může být rok 2017, kdy uplyne 400 let od vytištění první běloruské knihy Franciskem Skorynou v Praze (na Klementinu je jeho pamětní deska). Obě strany konstatovaly velký zájem na prohloubení vzájemné spolupráce. NK Běloruska je moderní instituce, která sídlí od r. 2006 v nové budově, je vysoce technologicky rozvinutá, mj. zpřístupňuje svým uživatelům ve svých prostorách a v dalších 50 virtuálních čítárnách po celé zemi na 150 zahraničních databází a elektronických zdrojů. Z dalších významných produktů, standardů, používá např. litevský integrovaný knihovní systém LIBRA, EBSCO RDS, katalogizační formát UNIMARC a MDT. Disponuje kvalifikovanými odborníky. S jejím generálním ředitelem byla mj. diskutována i otázky zapojení NK Běloruska do CENL.</w:t>
            </w:r>
          </w:p>
          <w:p w:rsidR="00690C70" w:rsidRPr="00AA3749" w:rsidRDefault="00690C70" w:rsidP="005619C3">
            <w:pPr>
              <w:tabs>
                <w:tab w:val="left" w:pos="4192"/>
              </w:tabs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noProof/>
                <w:sz w:val="22"/>
                <w:szCs w:val="22"/>
              </w:rPr>
              <w:pict>
                <v:shape id="Obrázek 4" o:spid="_x0000_i1028" type="#_x0000_t75" style="width:272.25pt;height:204pt;visibility:visible">
                  <v:imagedata r:id="rId9" o:title=""/>
                </v:shape>
              </w:pict>
            </w:r>
          </w:p>
          <w:p w:rsidR="00690C70" w:rsidRPr="00AA3749" w:rsidRDefault="00690C70" w:rsidP="005619C3">
            <w:pPr>
              <w:tabs>
                <w:tab w:val="left" w:pos="4192"/>
              </w:tabs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AA3749">
              <w:rPr>
                <w:rFonts w:ascii="Calibri" w:hAnsi="Calibri" w:cs="Calibri"/>
                <w:i/>
                <w:iCs/>
                <w:sz w:val="22"/>
                <w:szCs w:val="22"/>
              </w:rPr>
              <w:t>Nová budova NK Běloruska byla otevřena v r. 2006</w:t>
            </w:r>
          </w:p>
          <w:p w:rsidR="00690C70" w:rsidRPr="00AA3749" w:rsidRDefault="00690C70" w:rsidP="005619C3">
            <w:pPr>
              <w:tabs>
                <w:tab w:val="left" w:pos="4192"/>
              </w:tabs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noProof/>
                <w:sz w:val="22"/>
                <w:szCs w:val="22"/>
              </w:rPr>
              <w:pict>
                <v:shape id="Obrázek 6" o:spid="_x0000_i1029" type="#_x0000_t75" style="width:272.25pt;height:204.75pt;visibility:visible">
                  <v:imagedata r:id="rId10" o:title=""/>
                </v:shape>
              </w:pict>
            </w:r>
          </w:p>
          <w:p w:rsidR="00690C70" w:rsidRPr="00AA3749" w:rsidRDefault="00690C70" w:rsidP="005619C3">
            <w:pPr>
              <w:tabs>
                <w:tab w:val="left" w:pos="4192"/>
              </w:tabs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AA3749">
              <w:rPr>
                <w:rFonts w:ascii="Calibri" w:hAnsi="Calibri" w:cs="Calibri"/>
                <w:i/>
                <w:iCs/>
                <w:sz w:val="22"/>
                <w:szCs w:val="22"/>
              </w:rPr>
              <w:t>Zleva: generální ředitelé národních knihoven České republiky (Tomáš Böhm), Litvy (Renaldas Gudauskas) a Běloruska (Raman Matulski) na vyhlídkové terase NK Běloruska</w:t>
            </w:r>
          </w:p>
          <w:p w:rsidR="00690C70" w:rsidRPr="00AA3749" w:rsidRDefault="00690C70" w:rsidP="005619C3">
            <w:pPr>
              <w:tabs>
                <w:tab w:val="left" w:pos="4192"/>
              </w:tabs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:rsidR="00690C70" w:rsidRPr="00AA3749" w:rsidRDefault="00690C70" w:rsidP="005619C3">
            <w:pPr>
              <w:tabs>
                <w:tab w:val="left" w:pos="4192"/>
              </w:tabs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noProof/>
                <w:sz w:val="22"/>
                <w:szCs w:val="22"/>
              </w:rPr>
              <w:pict>
                <v:shape id="Obrázek 7" o:spid="_x0000_i1030" type="#_x0000_t75" style="width:272.25pt;height:204pt;visibility:visible">
                  <v:imagedata r:id="rId11" o:title=""/>
                </v:shape>
              </w:pict>
            </w:r>
          </w:p>
          <w:p w:rsidR="00690C70" w:rsidRPr="00AA3749" w:rsidRDefault="00690C70" w:rsidP="00003336">
            <w:pPr>
              <w:tabs>
                <w:tab w:val="left" w:pos="4192"/>
              </w:tabs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AA3749">
              <w:rPr>
                <w:rFonts w:ascii="Calibri" w:hAnsi="Calibri" w:cs="Calibri"/>
                <w:i/>
                <w:iCs/>
                <w:sz w:val="22"/>
                <w:szCs w:val="22"/>
              </w:rPr>
              <w:t>První běloruská tištěná kniha – Praha 1517 (Franciscus Skoryna)</w:t>
            </w:r>
          </w:p>
        </w:tc>
      </w:tr>
      <w:tr w:rsidR="00690C70" w:rsidRPr="004A0D9A">
        <w:tc>
          <w:tcPr>
            <w:tcW w:w="3614" w:type="dxa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Přivezené materiály</w:t>
            </w:r>
          </w:p>
        </w:tc>
        <w:tc>
          <w:tcPr>
            <w:tcW w:w="5598" w:type="dxa"/>
            <w:gridSpan w:val="2"/>
          </w:tcPr>
          <w:p w:rsidR="00690C70" w:rsidRPr="00AA3749" w:rsidRDefault="00690C70" w:rsidP="00FD690C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CD a publikace: předány do fondů NK</w:t>
            </w:r>
          </w:p>
        </w:tc>
      </w:tr>
      <w:tr w:rsidR="00690C70" w:rsidRPr="004A0D9A">
        <w:tc>
          <w:tcPr>
            <w:tcW w:w="3614" w:type="dxa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Datum předložení zprávy</w:t>
            </w:r>
          </w:p>
        </w:tc>
        <w:tc>
          <w:tcPr>
            <w:tcW w:w="5598" w:type="dxa"/>
            <w:gridSpan w:val="2"/>
          </w:tcPr>
          <w:p w:rsidR="00690C70" w:rsidRPr="00AA3749" w:rsidRDefault="00690C70" w:rsidP="00E67F1D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31. října 2013</w:t>
            </w:r>
          </w:p>
        </w:tc>
      </w:tr>
      <w:tr w:rsidR="00690C70" w:rsidRPr="004A0D9A">
        <w:tc>
          <w:tcPr>
            <w:tcW w:w="3614" w:type="dxa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Podpis předkladatele zprávy</w:t>
            </w:r>
          </w:p>
        </w:tc>
        <w:tc>
          <w:tcPr>
            <w:tcW w:w="5598" w:type="dxa"/>
            <w:gridSpan w:val="2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90C70" w:rsidRPr="004A0D9A">
        <w:tc>
          <w:tcPr>
            <w:tcW w:w="3614" w:type="dxa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Podpis nadřízeného</w:t>
            </w:r>
          </w:p>
        </w:tc>
        <w:tc>
          <w:tcPr>
            <w:tcW w:w="2799" w:type="dxa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Datum:</w:t>
            </w:r>
          </w:p>
        </w:tc>
        <w:tc>
          <w:tcPr>
            <w:tcW w:w="2799" w:type="dxa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Podpis:</w:t>
            </w:r>
          </w:p>
        </w:tc>
      </w:tr>
      <w:tr w:rsidR="00690C70" w:rsidRPr="004A0D9A">
        <w:tc>
          <w:tcPr>
            <w:tcW w:w="3614" w:type="dxa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Vloženo na Intranet</w:t>
            </w:r>
          </w:p>
        </w:tc>
        <w:tc>
          <w:tcPr>
            <w:tcW w:w="2799" w:type="dxa"/>
          </w:tcPr>
          <w:p w:rsidR="00690C70" w:rsidRPr="00AA3749" w:rsidRDefault="00690C70" w:rsidP="006428F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Datum: 31. října 2013</w:t>
            </w:r>
          </w:p>
        </w:tc>
        <w:tc>
          <w:tcPr>
            <w:tcW w:w="2799" w:type="dxa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Podpis:</w:t>
            </w:r>
          </w:p>
        </w:tc>
      </w:tr>
      <w:tr w:rsidR="00690C70" w:rsidRPr="004A0D9A">
        <w:tc>
          <w:tcPr>
            <w:tcW w:w="3614" w:type="dxa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Přijato v mezinárodním oddělení</w:t>
            </w:r>
          </w:p>
        </w:tc>
        <w:tc>
          <w:tcPr>
            <w:tcW w:w="2799" w:type="dxa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Datum:</w:t>
            </w:r>
          </w:p>
        </w:tc>
        <w:tc>
          <w:tcPr>
            <w:tcW w:w="2799" w:type="dxa"/>
          </w:tcPr>
          <w:p w:rsidR="00690C70" w:rsidRPr="00AA3749" w:rsidRDefault="00690C70" w:rsidP="00B92ABF">
            <w:pPr>
              <w:rPr>
                <w:rFonts w:ascii="Calibri" w:hAnsi="Calibri" w:cs="Calibri"/>
                <w:sz w:val="22"/>
                <w:szCs w:val="22"/>
              </w:rPr>
            </w:pPr>
            <w:r w:rsidRPr="00AA3749">
              <w:rPr>
                <w:rFonts w:ascii="Calibri" w:hAnsi="Calibri" w:cs="Calibri"/>
                <w:sz w:val="22"/>
                <w:szCs w:val="22"/>
              </w:rPr>
              <w:t>Podpis:</w:t>
            </w:r>
          </w:p>
        </w:tc>
      </w:tr>
    </w:tbl>
    <w:p w:rsidR="00690C70" w:rsidRPr="00AA3749" w:rsidRDefault="00690C70" w:rsidP="00FD2114">
      <w:pPr>
        <w:rPr>
          <w:rFonts w:ascii="Calibri" w:hAnsi="Calibri" w:cs="Calibri"/>
          <w:sz w:val="22"/>
          <w:szCs w:val="22"/>
        </w:rPr>
      </w:pPr>
    </w:p>
    <w:sectPr w:rsidR="00690C70" w:rsidRPr="00AA3749" w:rsidSect="00215A2E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C70" w:rsidRDefault="00690C70">
      <w:r>
        <w:separator/>
      </w:r>
    </w:p>
  </w:endnote>
  <w:endnote w:type="continuationSeparator" w:id="0">
    <w:p w:rsidR="00690C70" w:rsidRDefault="00690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70" w:rsidRDefault="00690C70" w:rsidP="00795BD8">
    <w:pPr>
      <w:pStyle w:val="Footer"/>
      <w:jc w:val="center"/>
      <w:rPr>
        <w:rFonts w:ascii="Arial" w:hAnsi="Arial" w:cs="Arial"/>
        <w:b/>
        <w:bCs/>
        <w:sz w:val="18"/>
        <w:szCs w:val="18"/>
      </w:rPr>
    </w:pPr>
    <w:r>
      <w:rPr>
        <w:noProof/>
      </w:rPr>
      <w:pict>
        <v:line id="Line 3" o:spid="_x0000_s2050" style="position:absolute;left:0;text-align:left;z-index:251657216;visibility:visible" from="0,3.15pt" to="450pt,3.15pt" strokecolor="red"/>
      </w:pict>
    </w:r>
  </w:p>
  <w:p w:rsidR="00690C70" w:rsidRPr="00AA3749" w:rsidRDefault="00690C70" w:rsidP="004A0D9A">
    <w:pPr>
      <w:pStyle w:val="EndnoteText"/>
      <w:rPr>
        <w:rFonts w:ascii="Calibri" w:hAnsi="Calibri" w:cs="Calibri"/>
      </w:rPr>
    </w:pPr>
    <w:r w:rsidRPr="00AA3749">
      <w:rPr>
        <w:rFonts w:ascii="Calibri" w:hAnsi="Calibri" w:cs="Calibri"/>
      </w:rPr>
      <w:t>Zpráva je pracovníkem do mezinárodního oddělení předložena nejpozději při vyúčtování cesty do 2 týdnů po jejím ukončení. Bez cestovní zprávy nebude provedeno vyúčtování. Při výjezdu více pracovníků na tutéž služební cestu s týmž programem lze odevzdat společnou cestovní zprávu.</w:t>
    </w:r>
  </w:p>
  <w:p w:rsidR="00690C70" w:rsidRPr="00AA3749" w:rsidRDefault="00690C70" w:rsidP="00281DF0">
    <w:pPr>
      <w:pStyle w:val="Footer"/>
      <w:jc w:val="center"/>
      <w:rPr>
        <w:rFonts w:ascii="Calibri" w:hAnsi="Calibri" w:cs="Calibri"/>
        <w:sz w:val="14"/>
        <w:szCs w:val="14"/>
      </w:rPr>
    </w:pPr>
    <w:r w:rsidRPr="00AA3749">
      <w:rPr>
        <w:rFonts w:ascii="Calibri" w:hAnsi="Calibri" w:cs="Calibri"/>
        <w:sz w:val="14"/>
        <w:szCs w:val="14"/>
      </w:rPr>
      <w:t xml:space="preserve"> </w:t>
    </w:r>
  </w:p>
  <w:p w:rsidR="00690C70" w:rsidRPr="00CA5218" w:rsidRDefault="00690C70" w:rsidP="00281DF0">
    <w:pPr>
      <w:pStyle w:val="Footer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C70" w:rsidRDefault="00690C70">
      <w:r>
        <w:separator/>
      </w:r>
    </w:p>
  </w:footnote>
  <w:footnote w:type="continuationSeparator" w:id="0">
    <w:p w:rsidR="00690C70" w:rsidRDefault="00690C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70" w:rsidRDefault="00690C70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in;height:57.75pt">
          <v:imagedata r:id="rId1" o:title=""/>
        </v:shape>
      </w:pict>
    </w:r>
  </w:p>
  <w:p w:rsidR="00690C70" w:rsidRDefault="00690C70">
    <w:pPr>
      <w:pStyle w:val="Header"/>
    </w:pPr>
    <w:r>
      <w:rPr>
        <w:noProof/>
      </w:rPr>
      <w:pict>
        <v:line id="Line 6" o:spid="_x0000_s2049" style="position:absolute;z-index:251658240;visibility:visible" from="0,9pt" to="450pt,9pt" strokecolor="red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937A4E"/>
    <w:multiLevelType w:val="hybridMultilevel"/>
    <w:tmpl w:val="8C480AD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7C33741E"/>
    <w:multiLevelType w:val="hybridMultilevel"/>
    <w:tmpl w:val="D820DC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01E8"/>
    <w:rsid w:val="00003336"/>
    <w:rsid w:val="000242DC"/>
    <w:rsid w:val="00031E53"/>
    <w:rsid w:val="0006007D"/>
    <w:rsid w:val="00081212"/>
    <w:rsid w:val="000F513C"/>
    <w:rsid w:val="00131B88"/>
    <w:rsid w:val="001415AA"/>
    <w:rsid w:val="00153BB3"/>
    <w:rsid w:val="00163E95"/>
    <w:rsid w:val="00167FCD"/>
    <w:rsid w:val="00171E27"/>
    <w:rsid w:val="00182E85"/>
    <w:rsid w:val="001B1E3A"/>
    <w:rsid w:val="001C6564"/>
    <w:rsid w:val="00215A2E"/>
    <w:rsid w:val="002744C4"/>
    <w:rsid w:val="00281DF0"/>
    <w:rsid w:val="0028349B"/>
    <w:rsid w:val="002A45D1"/>
    <w:rsid w:val="002C0696"/>
    <w:rsid w:val="002D56C6"/>
    <w:rsid w:val="002E1E7C"/>
    <w:rsid w:val="002E574E"/>
    <w:rsid w:val="002E6F0B"/>
    <w:rsid w:val="002F4EE9"/>
    <w:rsid w:val="00311872"/>
    <w:rsid w:val="00327A91"/>
    <w:rsid w:val="00377A48"/>
    <w:rsid w:val="003A11DA"/>
    <w:rsid w:val="00434CE8"/>
    <w:rsid w:val="004354A3"/>
    <w:rsid w:val="00460F82"/>
    <w:rsid w:val="004636F4"/>
    <w:rsid w:val="004647AF"/>
    <w:rsid w:val="00466446"/>
    <w:rsid w:val="004A0D9A"/>
    <w:rsid w:val="004D79F6"/>
    <w:rsid w:val="004F2933"/>
    <w:rsid w:val="00522F1F"/>
    <w:rsid w:val="0054197E"/>
    <w:rsid w:val="005619C3"/>
    <w:rsid w:val="00570934"/>
    <w:rsid w:val="00595F10"/>
    <w:rsid w:val="005A21CE"/>
    <w:rsid w:val="005A35A8"/>
    <w:rsid w:val="005E1E28"/>
    <w:rsid w:val="006019DC"/>
    <w:rsid w:val="00601E17"/>
    <w:rsid w:val="0063054A"/>
    <w:rsid w:val="006319B3"/>
    <w:rsid w:val="006428FF"/>
    <w:rsid w:val="006501E8"/>
    <w:rsid w:val="00690C70"/>
    <w:rsid w:val="00694270"/>
    <w:rsid w:val="006E04F0"/>
    <w:rsid w:val="007364A6"/>
    <w:rsid w:val="00746A50"/>
    <w:rsid w:val="00795BD8"/>
    <w:rsid w:val="00850342"/>
    <w:rsid w:val="00880467"/>
    <w:rsid w:val="00882BFC"/>
    <w:rsid w:val="008942EB"/>
    <w:rsid w:val="008A5B5C"/>
    <w:rsid w:val="008D5A24"/>
    <w:rsid w:val="008E35BC"/>
    <w:rsid w:val="00907B1D"/>
    <w:rsid w:val="009141A1"/>
    <w:rsid w:val="009161BC"/>
    <w:rsid w:val="009536C6"/>
    <w:rsid w:val="00967314"/>
    <w:rsid w:val="009A2DF3"/>
    <w:rsid w:val="009B3CF4"/>
    <w:rsid w:val="009B45F7"/>
    <w:rsid w:val="009D0295"/>
    <w:rsid w:val="009E2368"/>
    <w:rsid w:val="00A6311B"/>
    <w:rsid w:val="00A95AA2"/>
    <w:rsid w:val="00AA3749"/>
    <w:rsid w:val="00AC79D1"/>
    <w:rsid w:val="00AD5B60"/>
    <w:rsid w:val="00AF2098"/>
    <w:rsid w:val="00AF75C9"/>
    <w:rsid w:val="00B1561D"/>
    <w:rsid w:val="00B331D6"/>
    <w:rsid w:val="00B8010C"/>
    <w:rsid w:val="00B81E7A"/>
    <w:rsid w:val="00B92ABF"/>
    <w:rsid w:val="00BB1E50"/>
    <w:rsid w:val="00BC7CE8"/>
    <w:rsid w:val="00BF53AB"/>
    <w:rsid w:val="00C20231"/>
    <w:rsid w:val="00C241EA"/>
    <w:rsid w:val="00C428A2"/>
    <w:rsid w:val="00C531FF"/>
    <w:rsid w:val="00C537E2"/>
    <w:rsid w:val="00C74192"/>
    <w:rsid w:val="00C7441C"/>
    <w:rsid w:val="00C96F49"/>
    <w:rsid w:val="00CA5218"/>
    <w:rsid w:val="00CA5FDF"/>
    <w:rsid w:val="00CB6050"/>
    <w:rsid w:val="00CD18DB"/>
    <w:rsid w:val="00D02A20"/>
    <w:rsid w:val="00D16898"/>
    <w:rsid w:val="00D33772"/>
    <w:rsid w:val="00DB0B51"/>
    <w:rsid w:val="00DC7A8A"/>
    <w:rsid w:val="00DF228F"/>
    <w:rsid w:val="00DF28E6"/>
    <w:rsid w:val="00E21964"/>
    <w:rsid w:val="00E468C9"/>
    <w:rsid w:val="00E53734"/>
    <w:rsid w:val="00E56221"/>
    <w:rsid w:val="00E67F1D"/>
    <w:rsid w:val="00E93CB4"/>
    <w:rsid w:val="00EF337C"/>
    <w:rsid w:val="00F32C78"/>
    <w:rsid w:val="00FA232D"/>
    <w:rsid w:val="00FC6D5C"/>
    <w:rsid w:val="00FD2114"/>
    <w:rsid w:val="00FD3FD6"/>
    <w:rsid w:val="00FD690C"/>
    <w:rsid w:val="00FF1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endnote reference" w:unhideWhenUsed="0"/>
    <w:lsdException w:name="endnote text" w:unhideWhenUsed="0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D9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A0D9A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A0D9A"/>
    <w:rPr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rsid w:val="001B1E3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47F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B1E3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47F5"/>
    <w:rPr>
      <w:sz w:val="24"/>
      <w:szCs w:val="24"/>
    </w:rPr>
  </w:style>
  <w:style w:type="character" w:styleId="Hyperlink">
    <w:name w:val="Hyperlink"/>
    <w:basedOn w:val="DefaultParagraphFont"/>
    <w:uiPriority w:val="99"/>
    <w:rsid w:val="00C537E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1C65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7F5"/>
    <w:rPr>
      <w:sz w:val="0"/>
      <w:szCs w:val="0"/>
    </w:rPr>
  </w:style>
  <w:style w:type="paragraph" w:styleId="Title">
    <w:name w:val="Title"/>
    <w:basedOn w:val="Normal"/>
    <w:link w:val="TitleChar"/>
    <w:uiPriority w:val="99"/>
    <w:qFormat/>
    <w:rsid w:val="004A0D9A"/>
    <w:pPr>
      <w:jc w:val="center"/>
    </w:pPr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rsid w:val="004A0D9A"/>
    <w:rPr>
      <w:b/>
      <w:bCs/>
      <w:sz w:val="28"/>
      <w:szCs w:val="28"/>
    </w:rPr>
  </w:style>
  <w:style w:type="paragraph" w:styleId="EndnoteText">
    <w:name w:val="endnote text"/>
    <w:basedOn w:val="Normal"/>
    <w:link w:val="EndnoteTextChar"/>
    <w:uiPriority w:val="99"/>
    <w:semiHidden/>
    <w:rsid w:val="004A0D9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A0D9A"/>
  </w:style>
  <w:style w:type="character" w:styleId="EndnoteReference">
    <w:name w:val="endnote reference"/>
    <w:basedOn w:val="DefaultParagraphFont"/>
    <w:uiPriority w:val="99"/>
    <w:semiHidden/>
    <w:rsid w:val="004A0D9A"/>
    <w:rPr>
      <w:vertAlign w:val="superscript"/>
    </w:rPr>
  </w:style>
  <w:style w:type="character" w:styleId="IntenseEmphasis">
    <w:name w:val="Intense Emphasis"/>
    <w:basedOn w:val="DefaultParagraphFont"/>
    <w:uiPriority w:val="99"/>
    <w:qFormat/>
    <w:rsid w:val="00FF14C1"/>
    <w:rPr>
      <w:b/>
      <w:bCs/>
      <w:i/>
      <w:iCs/>
      <w:color w:val="4F81BD"/>
    </w:rPr>
  </w:style>
  <w:style w:type="paragraph" w:styleId="ListParagraph">
    <w:name w:val="List Paragraph"/>
    <w:basedOn w:val="Normal"/>
    <w:uiPriority w:val="99"/>
    <w:qFormat/>
    <w:rsid w:val="00907B1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ld.nlb.by/fenomen/program_k.doc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48</TotalTime>
  <Pages>4</Pages>
  <Words>421</Words>
  <Characters>2489</Characters>
  <Application>Microsoft Office Word</Application>
  <DocSecurity>0</DocSecurity>
  <Lines>0</Lines>
  <Paragraphs>0</Paragraphs>
  <ScaleCrop>false</ScaleCrop>
  <Company>Národní knihovna ČR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Knoll Adolf</dc:creator>
  <cp:keywords/>
  <dc:description/>
  <cp:lastModifiedBy>Eva</cp:lastModifiedBy>
  <cp:revision>7</cp:revision>
  <cp:lastPrinted>2013-10-31T07:37:00Z</cp:lastPrinted>
  <dcterms:created xsi:type="dcterms:W3CDTF">2013-10-30T07:10:00Z</dcterms:created>
  <dcterms:modified xsi:type="dcterms:W3CDTF">2014-01-15T16:07:00Z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0x0101009F2BF8F403E12A49AA4C42A6371BA9D5</vt:lpwstr>
  </property>
</Properties>
</file>